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adres email, telefon: 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4/TILIAM/FEOP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5"/>
        <w:gridCol w:w="345"/>
        <w:gridCol w:w="1245"/>
        <w:gridCol w:w="1245"/>
        <w:gridCol w:w="270"/>
        <w:gridCol w:w="270"/>
        <w:gridCol w:w="825"/>
        <w:gridCol w:w="1125"/>
        <w:gridCol w:w="105"/>
        <w:gridCol w:w="405"/>
        <w:gridCol w:w="630"/>
        <w:gridCol w:w="630"/>
        <w:gridCol w:w="825"/>
        <w:gridCol w:w="825"/>
        <w:tblGridChange w:id="0">
          <w:tblGrid>
            <w:gridCol w:w="345"/>
            <w:gridCol w:w="345"/>
            <w:gridCol w:w="1245"/>
            <w:gridCol w:w="1245"/>
            <w:gridCol w:w="270"/>
            <w:gridCol w:w="270"/>
            <w:gridCol w:w="825"/>
            <w:gridCol w:w="1125"/>
            <w:gridCol w:w="105"/>
            <w:gridCol w:w="405"/>
            <w:gridCol w:w="630"/>
            <w:gridCol w:w="630"/>
            <w:gridCol w:w="825"/>
            <w:gridCol w:w="825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1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Lekarz –  kierownik zespołu terapeutycznego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8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5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5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Lekarz –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specjalista internista ze specjalizacją Choroby Wewnętrzne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7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F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81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F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*    1 usługa oznaczają 1 h zegarowej (60 minut)</w:t>
      </w:r>
    </w:p>
    <w:p w:rsidR="00000000" w:rsidDel="00000000" w:rsidP="00000000" w:rsidRDefault="00000000" w:rsidRPr="00000000" w14:paraId="0000009E">
      <w:pPr>
        <w:spacing w:after="0" w:line="276" w:lineRule="auto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F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*** Udział w podobnym projekcie jak opisane w przedmiocie zamówienia- sztuka.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A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6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B0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B1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4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9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C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2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5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C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C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D0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D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8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B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E0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E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SPÓŁKA </w:t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Zawadzkie,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ul. Polna 3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a.zydek@tiliam.pl;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4/TILIAM/FEOP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-398299115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7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8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0F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4/TILIAM/FEOP</w:t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10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1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3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94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HrxfnZ7cc/eoD+feXUj13uHUqQ==">CgMxLjAaJAoBMBIfCh0IB0IZCgVBcmlhbBIQQXJpYWwgVW5pY29kZSBNUzgAciExLXhCQVk2R2RGeDB5Slo0YWhfYjlTd1hYbWFMaEZDVk4=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